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200" w:line="240" w:lineRule="auto"/>
        <w:jc w:val="center"/>
        <w:rPr>
          <w:rFonts w:ascii="Montserrat" w:cs="Montserrat" w:eastAsia="Montserrat" w:hAnsi="Montserrat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408087"/>
          <w:rtl w:val="0"/>
        </w:rPr>
        <w:t xml:space="preserve">Module 2: Early Intervention for Children Who Are Deafblind </w:t>
        <w:br w:type="textWrapping"/>
        <w:t xml:space="preserve">Lesson 3 Quiz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TRUE/FALSE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spacing w:before="200" w:lineRule="auto"/>
        <w:ind w:left="720" w:hanging="360"/>
        <w:rPr/>
      </w:pPr>
      <w:r w:rsidDel="00000000" w:rsidR="00000000" w:rsidRPr="00000000">
        <w:rPr>
          <w:rtl w:val="0"/>
        </w:rPr>
        <w:t xml:space="preserve">When working with a child who is deafblind, encourage caregivers to make deliberate choices about what will heighten the child’s curiosity and make it easy for them to engage in self-initiated learning.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before="20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To better encourage self-initiated learning for a child who is deafblind, it is best to place new objects and materials just outside their reach.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before="20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To expand the interests of a child who is deafblind, avoid relying on their preferred sensory modalities when selecting activities, objects, and materials for self-initiated learning.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before="20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Encourage caregivers to provide times throughout the day for their infant or toddler who is deafblind to engage in independent exploration.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before="20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Caregivers naturally want to give their child who is deafblind new things; however, to best support self-initiated learning, encourage caregivers to limit their child’s exposure to new toys or other items to avoid causing stress.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before="20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Introduce a child who is deafblind to adaptive and supportive mobility equipment very slowly, giving them time to become accustomed to each item’s textures, parts, and shapes.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before="20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It is not uncommon for children who are deafblind to sometimes prefer to explore with their feet rather than with their hands.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before="20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Once a child has developed a mental map of a room in the home, encourage caregivers to move the furniture and other objects. This will increase the child’s mobility and confidence.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before="20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Infants and toddlers who are deafblind but have some usable hearing will enjoy music and nursery rhymes, but those who are totally deaf will not.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before="20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Turn-taking is an important strategy to use in early intervention with a child who is deafblind because shared activities strengthen connections with others.</w:t>
      </w:r>
    </w:p>
    <w:p w:rsidR="00000000" w:rsidDel="00000000" w:rsidP="00000000" w:rsidRDefault="00000000" w:rsidRPr="00000000" w14:paraId="0000000D">
      <w:pPr>
        <w:pStyle w:val="Heading2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Multiple Choice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Opportunities that are specifically designed to encourage self-initiated learning for infants and toddlers who are deafblind, 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8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Promote independent exploration 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8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Stimulate curiosity and enhance a child’s motivation to interpret and organize new sensory information </w:t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8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Help a child learn they have some control over what they do and what happens</w:t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8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All of the above</w:t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8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None of the above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8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When caregivers often put things in front of a child who is deafblind and later take them away (sometimes called the “good fairy syndrome”), you should</w:t>
      </w:r>
    </w:p>
    <w:p w:rsidR="00000000" w:rsidDel="00000000" w:rsidP="00000000" w:rsidRDefault="00000000" w:rsidRPr="00000000" w14:paraId="00000016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Commend them for proactively anticipating their child’s needs</w:t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Explain that this could make the child believe things happen to them and not that the world is something to engage with</w:t>
      </w:r>
    </w:p>
    <w:p w:rsidR="00000000" w:rsidDel="00000000" w:rsidP="00000000" w:rsidRDefault="00000000" w:rsidRPr="00000000" w14:paraId="00000018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Note that this strategy is often used in early intervention to lower the biobehavioral state of a child who is deafblind </w:t>
      </w:r>
    </w:p>
    <w:p w:rsidR="00000000" w:rsidDel="00000000" w:rsidP="00000000" w:rsidRDefault="00000000" w:rsidRPr="00000000" w14:paraId="00000019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None of the above are correct</w:t>
      </w:r>
    </w:p>
    <w:p w:rsidR="00000000" w:rsidDel="00000000" w:rsidP="00000000" w:rsidRDefault="00000000" w:rsidRPr="00000000" w14:paraId="0000001A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To encourage a child to learn and explore, caregivers should y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Make deliberate choices about activities, materials, and objects that will heighten their child’s curiosity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Set up their child’s environment in a way that makes it challenging for the child to engage in self-initiated learning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Always participate in their child’s self-initiated learning activities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Answers B and C are correct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firstLine="0"/>
        <w:jc w:val="left"/>
        <w:rPr/>
      </w:pPr>
      <w:r w:rsidDel="00000000" w:rsidR="00000000" w:rsidRPr="00000000">
        <w:rPr>
          <w:rtl w:val="0"/>
        </w:rPr>
        <w:t xml:space="preserve">4. Toddlers who are deafblind and can crawl or move about on the floor may come in contact with new flooring textures, which typically causes them to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Initially feel anxious or afraid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Become resistant to tactual exploration with their feet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Temporarily become less engaged with others, including siblings and caregivers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All of the above are correct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40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405" w:firstLine="0"/>
        <w:rPr/>
      </w:pPr>
      <w:r w:rsidDel="00000000" w:rsidR="00000000" w:rsidRPr="00000000">
        <w:rPr>
          <w:rtl w:val="0"/>
        </w:rPr>
        <w:t xml:space="preserve">5. Joining a child in activities they find fun and interesting creates opportunities for them to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3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Learn new things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Strengthen their communication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Form deeper connections with others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All of the above 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Answers A and C are correct</w:t>
      </w:r>
    </w:p>
    <w:p w:rsidR="00000000" w:rsidDel="00000000" w:rsidP="00000000" w:rsidRDefault="00000000" w:rsidRPr="00000000" w14:paraId="0000002D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405" w:firstLine="0"/>
        <w:rPr/>
      </w:pPr>
      <w:r w:rsidDel="00000000" w:rsidR="00000000" w:rsidRPr="00000000">
        <w:rPr>
          <w:rtl w:val="0"/>
        </w:rPr>
        <w:t xml:space="preserve">6. Nursery rhymes and songs with movements can teach a child who is deafblind words and concepts; however, 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line="240" w:lineRule="auto"/>
        <w:ind w:left="1485" w:hanging="360"/>
        <w:rPr/>
      </w:pPr>
      <w:r w:rsidDel="00000000" w:rsidR="00000000" w:rsidRPr="00000000">
        <w:rPr>
          <w:rtl w:val="0"/>
        </w:rPr>
        <w:t xml:space="preserve">Avoid using them with children who are totally deaf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line="240" w:lineRule="auto"/>
        <w:ind w:left="1485" w:hanging="360"/>
        <w:rPr/>
      </w:pPr>
      <w:r w:rsidDel="00000000" w:rsidR="00000000" w:rsidRPr="00000000">
        <w:rPr>
          <w:rtl w:val="0"/>
        </w:rPr>
        <w:t xml:space="preserve">Never use rhymes and songs from cultures that are different from the child’s, as this will delay language development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line="240" w:lineRule="auto"/>
        <w:ind w:left="1485" w:hanging="360"/>
        <w:rPr/>
      </w:pPr>
      <w:r w:rsidDel="00000000" w:rsidR="00000000" w:rsidRPr="00000000">
        <w:rPr>
          <w:rtl w:val="0"/>
        </w:rPr>
        <w:t xml:space="preserve">Always use gestures instead of touch or object cues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line="240" w:lineRule="auto"/>
        <w:ind w:left="1485" w:hanging="360"/>
        <w:rPr/>
      </w:pPr>
      <w:r w:rsidDel="00000000" w:rsidR="00000000" w:rsidRPr="00000000">
        <w:rPr>
          <w:rtl w:val="0"/>
        </w:rPr>
        <w:t xml:space="preserve">Encourage adults to use language in ways the child will understand</w:t>
      </w:r>
    </w:p>
    <w:p w:rsidR="00000000" w:rsidDel="00000000" w:rsidP="00000000" w:rsidRDefault="00000000" w:rsidRPr="00000000" w14:paraId="00000033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05" w:right="0" w:firstLine="0"/>
        <w:jc w:val="left"/>
        <w:rPr/>
      </w:pPr>
      <w:r w:rsidDel="00000000" w:rsidR="00000000" w:rsidRPr="00000000">
        <w:rPr>
          <w:rtl w:val="0"/>
        </w:rPr>
        <w:t xml:space="preserve">7. Having an infant or toddler who is deafblind engage in experiences and activities outside the home can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Benefit the child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Benefit the family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Benefit the community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All of the above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BM Plex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jc w:val="center"/>
      <w:rPr>
        <w:rFonts w:ascii="IBM Plex Sans" w:cs="IBM Plex Sans" w:eastAsia="IBM Plex Sans" w:hAnsi="IBM Plex Sans"/>
        <w:b w:val="1"/>
        <w:sz w:val="20"/>
        <w:szCs w:val="20"/>
        <w:highlight w:val="white"/>
      </w:rPr>
    </w:pPr>
    <w:r w:rsidDel="00000000" w:rsidR="00000000" w:rsidRPr="00000000">
      <w:rPr>
        <w:rFonts w:ascii="IBM Plex Sans" w:cs="IBM Plex Sans" w:eastAsia="IBM Plex Sans" w:hAnsi="IBM Plex Sans"/>
        <w:b w:val="1"/>
        <w:sz w:val="20"/>
        <w:szCs w:val="20"/>
        <w:highlight w:val="white"/>
        <w:rtl w:val="0"/>
      </w:rPr>
      <w:br w:type="textWrapping"/>
      <w:t xml:space="preserve">National Center on Deaf-Blindness, 2023</w:t>
    </w:r>
  </w:p>
  <w:p w:rsidR="00000000" w:rsidDel="00000000" w:rsidP="00000000" w:rsidRDefault="00000000" w:rsidRPr="00000000" w14:paraId="00000043">
    <w:pPr>
      <w:jc w:val="center"/>
      <w:rPr>
        <w:rFonts w:ascii="IBM Plex Sans" w:cs="IBM Plex Sans" w:eastAsia="IBM Plex Sans" w:hAnsi="IBM Plex Sans"/>
        <w:b w:val="1"/>
        <w:sz w:val="20"/>
        <w:szCs w:val="20"/>
        <w:highlight w:val="white"/>
      </w:rPr>
    </w:pPr>
    <w:r w:rsidDel="00000000" w:rsidR="00000000" w:rsidRPr="00000000">
      <w:rPr>
        <w:rFonts w:ascii="IBM Plex Sans" w:cs="IBM Plex Sans" w:eastAsia="IBM Plex Sans" w:hAnsi="IBM Plex Sans"/>
        <w:b w:val="1"/>
        <w:sz w:val="20"/>
        <w:szCs w:val="20"/>
        <w:highlight w:val="white"/>
        <w:rtl w:val="0"/>
      </w:rPr>
      <w:t xml:space="preserve">nationaldb.org</w:t>
    </w:r>
  </w:p>
  <w:p w:rsidR="00000000" w:rsidDel="00000000" w:rsidP="00000000" w:rsidRDefault="00000000" w:rsidRPr="00000000" w14:paraId="00000044">
    <w:pPr>
      <w:rPr>
        <w:rFonts w:ascii="IBM Plex Sans" w:cs="IBM Plex Sans" w:eastAsia="IBM Plex Sans" w:hAnsi="IBM Plex Sans"/>
        <w:sz w:val="16"/>
        <w:szCs w:val="16"/>
        <w:highlight w:val="white"/>
      </w:rPr>
    </w:pPr>
    <w:r w:rsidDel="00000000" w:rsidR="00000000" w:rsidRPr="00000000">
      <w:rPr>
        <w:rFonts w:ascii="IBM Plex Sans" w:cs="IBM Plex Sans" w:eastAsia="IBM Plex Sans" w:hAnsi="IBM Plex Sans"/>
        <w:sz w:val="16"/>
        <w:szCs w:val="16"/>
        <w:highlight w:val="white"/>
        <w:rtl w:val="0"/>
      </w:rPr>
      <w:t xml:space="preserve">The contents of this publication were developed under a grant from the U.S. Department of Education, #H326T180026. However, those contents do not necessarily represent the policy of the U.S. Department of Education, and you should not assume endorsement by the Federal Government. Project Officer, Susan Weigert.</w:t>
    </w:r>
  </w:p>
  <w:p w:rsidR="00000000" w:rsidDel="00000000" w:rsidP="00000000" w:rsidRDefault="00000000" w:rsidRPr="00000000" w14:paraId="00000045">
    <w:pPr>
      <w:spacing w:after="120" w:before="120" w:lineRule="auto"/>
      <w:jc w:val="center"/>
      <w:rPr>
        <w:rFonts w:ascii="IBM Plex Sans" w:cs="IBM Plex Sans" w:eastAsia="IBM Plex Sans" w:hAnsi="IBM Plex Sans"/>
        <w:sz w:val="24"/>
        <w:szCs w:val="24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1676400</wp:posOffset>
          </wp:positionH>
          <wp:positionV relativeFrom="paragraph">
            <wp:posOffset>95250</wp:posOffset>
          </wp:positionV>
          <wp:extent cx="2586038" cy="509819"/>
          <wp:effectExtent b="0" l="0" r="0" t="0"/>
          <wp:wrapSquare wrapText="bothSides" distB="0" distT="0" distL="0" distR="0"/>
          <wp:docPr descr="NCDB: National Center on Deaf-Blindness&#10;IDEAs that Work: Office of Special Education Programs, U.S. Department of Education" id="13" name="image2.png"/>
          <a:graphic>
            <a:graphicData uri="http://schemas.openxmlformats.org/drawingml/2006/picture">
              <pic:pic>
                <pic:nvPicPr>
                  <pic:cNvPr descr="NCDB: National Center on Deaf-Blindness&#10;IDEAs that Work: Office of Special Education Programs, U.S. Department of Education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86038" cy="50981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spacing w:line="240" w:lineRule="auto"/>
      <w:rPr/>
    </w:pPr>
    <w:r w:rsidDel="00000000" w:rsidR="00000000" w:rsidRPr="00000000">
      <w:rPr/>
      <w:drawing>
        <wp:inline distB="0" distT="0" distL="0" distR="0">
          <wp:extent cx="1980898" cy="928088"/>
          <wp:effectExtent b="0" l="0" r="0" t="0"/>
          <wp:docPr descr="Teaching Children Who Are Deafblind logo" id="12" name="image1.png"/>
          <a:graphic>
            <a:graphicData uri="http://schemas.openxmlformats.org/drawingml/2006/picture">
              <pic:pic>
                <pic:nvPicPr>
                  <pic:cNvPr descr="Teaching Children Who Are Deafblind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0898" cy="9280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Montserrat" w:cs="Montserrat" w:eastAsia="Montserrat" w:hAnsi="Montserrat"/>
      <w:b w:val="1"/>
      <w:color w:val="ed5a5a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Montserrat" w:cs="Montserrat" w:eastAsia="Montserrat" w:hAnsi="Montserrat"/>
      <w:b w:val="1"/>
      <w:color w:val="ed5a5a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Montserrat" w:cs="Montserrat" w:eastAsia="Montserrat" w:hAnsi="Montserrat"/>
      <w:b w:val="1"/>
      <w:color w:val="ed5a5a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Montserrat" w:cs="Montserrat" w:eastAsia="Montserrat" w:hAnsi="Montserrat"/>
      <w:b w:val="1"/>
      <w:color w:val="ed5a5a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rFonts w:ascii="Montserrat" w:cs="Montserrat" w:eastAsia="Montserrat" w:hAnsi="Montserrat"/>
      <w:b w:val="1"/>
      <w:color w:val="ed5a5a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EF1748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1748"/>
  </w:style>
  <w:style w:type="paragraph" w:styleId="Footer">
    <w:name w:val="footer"/>
    <w:basedOn w:val="Normal"/>
    <w:link w:val="FooterChar"/>
    <w:uiPriority w:val="99"/>
    <w:unhideWhenUsed w:val="1"/>
    <w:rsid w:val="00EF1748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1748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-regular.ttf"/><Relationship Id="rId2" Type="http://schemas.openxmlformats.org/officeDocument/2006/relationships/font" Target="fonts/IBMPlexSans-bold.ttf"/><Relationship Id="rId3" Type="http://schemas.openxmlformats.org/officeDocument/2006/relationships/font" Target="fonts/IBMPlexSans-italic.ttf"/><Relationship Id="rId4" Type="http://schemas.openxmlformats.org/officeDocument/2006/relationships/font" Target="fonts/IBMPlexSans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pgrp57RIEAjMS/MagaDsYYjGNQ==">AMUW2mVl72pHIrmuWMld0fKk+NiSo/kM26Hjs8rYHkEzHsKYAYxSzP5SYLcp2ksVpUxj2+Gm2yL7ygLhuEsKyhCBsJkTaqvTjFL+DBiletRrSySp2pMH7R1794yljtQWVgG2TKysO38hGBfEhHsIrwunzGLyJTSi4g==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2022-09-07T18:41:00Z</dcterms:created>
</cp:coreProperties>
</file>