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120" w:line="240" w:lineRule="auto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color w:val="408087"/>
          <w:rtl w:val="0"/>
        </w:rPr>
        <w:t xml:space="preserve">Module 3: Communicating With Children   Who Are Deafblind </w:t>
        <w:br w:type="textWrapping"/>
        <w:t xml:space="preserve">Lesson 2 Quiz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after="240" w:lineRule="auto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TRUE/FALSE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before="200" w:lineRule="auto"/>
        <w:ind w:left="720" w:hanging="360"/>
        <w:rPr/>
      </w:pPr>
      <w:r w:rsidDel="00000000" w:rsidR="00000000" w:rsidRPr="00000000">
        <w:rPr>
          <w:rtl w:val="0"/>
        </w:rPr>
        <w:t xml:space="preserve">Emerging communicators use unintentional communication but not intentional communication.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before="200" w:lineRule="auto"/>
        <w:ind w:left="720" w:hanging="360"/>
        <w:rPr/>
      </w:pPr>
      <w:r w:rsidDel="00000000" w:rsidR="00000000" w:rsidRPr="00000000">
        <w:rPr>
          <w:rtl w:val="0"/>
        </w:rPr>
        <w:t xml:space="preserve">The term “presymbolic” is sometimes used to describe children who are emerging communicators and don’t rely on symbols to express or receive information.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before="200" w:lineRule="auto"/>
        <w:ind w:left="720" w:hanging="360"/>
        <w:rPr/>
      </w:pPr>
      <w:r w:rsidDel="00000000" w:rsidR="00000000" w:rsidRPr="00000000">
        <w:rPr>
          <w:rtl w:val="0"/>
        </w:rPr>
        <w:t xml:space="preserve">Children who are emerging communicators rarely use any type of symbol to communicate their wants and needs.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before="200" w:lineRule="auto"/>
        <w:ind w:left="720" w:hanging="360"/>
        <w:rPr/>
      </w:pPr>
      <w:r w:rsidDel="00000000" w:rsidR="00000000" w:rsidRPr="00000000">
        <w:rPr>
          <w:rtl w:val="0"/>
        </w:rPr>
        <w:t xml:space="preserve">Touch cues can be used to let a child who is deafblind know who is present and when someone leaves.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before="200" w:lineRule="auto"/>
        <w:ind w:left="720" w:hanging="360"/>
        <w:rPr/>
      </w:pPr>
      <w:r w:rsidDel="00000000" w:rsidR="00000000" w:rsidRPr="00000000">
        <w:rPr>
          <w:rtl w:val="0"/>
        </w:rPr>
        <w:t xml:space="preserve">Family members are often the first to recognize and differentiate the meaning behind a child’s behaviors and early vocalizations.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before="200" w:lineRule="auto"/>
        <w:ind w:left="720" w:hanging="360"/>
        <w:rPr/>
      </w:pPr>
      <w:r w:rsidDel="00000000" w:rsidR="00000000" w:rsidRPr="00000000">
        <w:rPr>
          <w:rtl w:val="0"/>
        </w:rPr>
        <w:t xml:space="preserve">Physical and occupational therapists and teachers of students with visual impairments can provide guidance on positioning and support strategies that will facilitate a child’s communication.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before="200" w:lineRule="auto"/>
        <w:ind w:left="720" w:hanging="360"/>
        <w:rPr/>
      </w:pPr>
      <w:r w:rsidDel="00000000" w:rsidR="00000000" w:rsidRPr="00000000">
        <w:rPr>
          <w:rtl w:val="0"/>
        </w:rPr>
        <w:t xml:space="preserve">Sharing and mutually attending to something along with a child can strengthen your relationship with them.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before="200" w:lineRule="auto"/>
        <w:ind w:left="720" w:hanging="360"/>
        <w:rPr/>
      </w:pPr>
      <w:r w:rsidDel="00000000" w:rsidR="00000000" w:rsidRPr="00000000">
        <w:rPr>
          <w:rtl w:val="0"/>
        </w:rPr>
        <w:t xml:space="preserve">Emerging communicators who do not communicate in conventional ways often develop remarkable receptive communication skills but will rarely communicate their intentions expressively.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before="200" w:lineRule="auto"/>
        <w:ind w:left="720" w:hanging="360"/>
        <w:rPr/>
      </w:pPr>
      <w:r w:rsidDel="00000000" w:rsidR="00000000" w:rsidRPr="00000000">
        <w:rPr>
          <w:rtl w:val="0"/>
        </w:rPr>
        <w:t xml:space="preserve">The meaning of the vast majority of expressive communication attempts by an emerging communicator will be obvious to you.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before="200" w:lineRule="auto"/>
        <w:ind w:left="720" w:hanging="360"/>
        <w:rPr/>
      </w:pPr>
      <w:r w:rsidDel="00000000" w:rsidR="00000000" w:rsidRPr="00000000">
        <w:rPr>
          <w:rtl w:val="0"/>
        </w:rPr>
        <w:t xml:space="preserve">Once you recognize a child is communicating, you should wait as long as possible to affirm their communication, as this will encourage the child to repeat and clarify their message.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before="200" w:lineRule="auto"/>
        <w:ind w:left="720" w:hanging="360"/>
        <w:rPr/>
      </w:pPr>
      <w:r w:rsidDel="00000000" w:rsidR="00000000" w:rsidRPr="00000000">
        <w:rPr>
          <w:rtl w:val="0"/>
        </w:rPr>
        <w:t xml:space="preserve">Imitation and turn-taking are excellent ways to engage in reciprocal interactions with children who are emerging communicators.</w:t>
      </w:r>
    </w:p>
    <w:p w:rsidR="00000000" w:rsidDel="00000000" w:rsidP="00000000" w:rsidRDefault="00000000" w:rsidRPr="00000000" w14:paraId="0000000E">
      <w:pPr>
        <w:pStyle w:val="Heading2"/>
        <w:spacing w:after="240" w:before="240" w:lineRule="auto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MULTIPLE CHOICE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One of the best ways to encourage an emerging communicator to communicate more often is to 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Limit the time you are interacting with them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Respond to them and affirm their communication in whatever form it takes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Use hand-over-hand interactions with objects and textures they prefer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240" w:lineRule="auto"/>
        <w:ind w:left="1440" w:hanging="360"/>
        <w:rPr/>
      </w:pPr>
      <w:r w:rsidDel="00000000" w:rsidR="00000000" w:rsidRPr="00000000">
        <w:rPr>
          <w:rtl w:val="0"/>
        </w:rPr>
        <w:t xml:space="preserve">Avoid using their preferred objects and textures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Which of the following strategies does </w:t>
      </w:r>
      <w:r w:rsidDel="00000000" w:rsidR="00000000" w:rsidRPr="00000000">
        <w:rPr>
          <w:b w:val="1"/>
          <w:rtl w:val="0"/>
        </w:rPr>
        <w:t xml:space="preserve">not</w:t>
      </w:r>
      <w:r w:rsidDel="00000000" w:rsidR="00000000" w:rsidRPr="00000000">
        <w:rPr>
          <w:rtl w:val="0"/>
        </w:rPr>
        <w:t xml:space="preserve"> support the communication development of a child who is an emerging communicator?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Close observation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Joint attention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Being present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240" w:lineRule="auto"/>
        <w:ind w:left="1440" w:hanging="360"/>
        <w:rPr/>
      </w:pPr>
      <w:r w:rsidDel="00000000" w:rsidR="00000000" w:rsidRPr="00000000">
        <w:rPr>
          <w:rtl w:val="0"/>
        </w:rPr>
        <w:t xml:space="preserve">Postural insecurity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/>
      </w:pPr>
      <w:r w:rsidDel="00000000" w:rsidR="00000000" w:rsidRPr="00000000">
        <w:rPr>
          <w:rtl w:val="0"/>
        </w:rPr>
        <w:t xml:space="preserve">3.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Shaping involves 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Limiting a child’s interactions with their peers to promote one-to-one communication with the teacher or other adult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Mimicking the child’s negative behavior or verbalizations to emphasize the unwanted behavior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Reinforcing a child’s behavior in ways that build their understanding of ideas and concepts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left="1440" w:hanging="360"/>
        <w:rPr/>
      </w:pPr>
      <w:r w:rsidDel="00000000" w:rsidR="00000000" w:rsidRPr="00000000">
        <w:rPr>
          <w:rtl w:val="0"/>
        </w:rPr>
        <w:t xml:space="preserve">Tracking and reporting developmental milestones over time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/>
      </w:pPr>
      <w:r w:rsidDel="00000000" w:rsidR="00000000" w:rsidRPr="00000000">
        <w:rPr>
          <w:rtl w:val="0"/>
        </w:rPr>
        <w:t xml:space="preserve">4.  With the hand-under-hand technique, you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Place the child’s hands underneath your hands, or alongside them, to help the child explore objects and materials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Place objects directly under a child’s hands rather than placing them within the child’s reach or field of vision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Place objects under your hand so that the child must tactually explore your hand to discover what is hidden from their view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left="1440" w:hanging="360"/>
        <w:rPr/>
      </w:pPr>
      <w:r w:rsidDel="00000000" w:rsidR="00000000" w:rsidRPr="00000000">
        <w:rPr>
          <w:rtl w:val="0"/>
        </w:rPr>
        <w:t xml:space="preserve">Place your hands underneath a child’s hands, or alongside them, to help the child explore objects and materials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79" w:hanging="619"/>
        <w:rPr/>
      </w:pPr>
      <w:r w:rsidDel="00000000" w:rsidR="00000000" w:rsidRPr="00000000">
        <w:rPr>
          <w:rtl w:val="0"/>
        </w:rPr>
        <w:t xml:space="preserve">      5. Suppose you sense that a child who is an emerging communicator is having difficulty  understanding you. You should consider 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Whether objects, materials, and instructional strategies take advantage of their best sensory learning channels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If hearing aids, glasses, and other devices are functioning and worn properly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Whether they are posturally secure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All of the above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720" w:lineRule="auto"/>
        <w:ind w:left="1440" w:hanging="360"/>
        <w:rPr/>
      </w:pPr>
      <w:r w:rsidDel="00000000" w:rsidR="00000000" w:rsidRPr="00000000">
        <w:rPr>
          <w:rtl w:val="0"/>
        </w:rPr>
        <w:t xml:space="preserve">None of the above</w:t>
      </w:r>
    </w:p>
    <w:p w:rsidR="00000000" w:rsidDel="00000000" w:rsidP="00000000" w:rsidRDefault="00000000" w:rsidRPr="00000000" w14:paraId="00000029">
      <w:pPr>
        <w:jc w:val="center"/>
        <w:rPr>
          <w:rFonts w:ascii="IBM Plex Sans" w:cs="IBM Plex Sans" w:eastAsia="IBM Plex Sans" w:hAnsi="IBM Plex Sans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sz w:val="20"/>
          <w:szCs w:val="20"/>
          <w:highlight w:val="white"/>
          <w:rtl w:val="0"/>
        </w:rPr>
        <w:t xml:space="preserve">National Center on Deafblindness, 2024</w:t>
      </w:r>
    </w:p>
    <w:p w:rsidR="00000000" w:rsidDel="00000000" w:rsidP="00000000" w:rsidRDefault="00000000" w:rsidRPr="00000000" w14:paraId="0000002A">
      <w:pPr>
        <w:jc w:val="center"/>
        <w:rPr>
          <w:rFonts w:ascii="IBM Plex Sans" w:cs="IBM Plex Sans" w:eastAsia="IBM Plex Sans" w:hAnsi="IBM Plex Sans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sz w:val="20"/>
          <w:szCs w:val="20"/>
          <w:highlight w:val="white"/>
          <w:rtl w:val="0"/>
        </w:rPr>
        <w:t xml:space="preserve">nationaldb.org</w:t>
      </w:r>
    </w:p>
    <w:p w:rsidR="00000000" w:rsidDel="00000000" w:rsidP="00000000" w:rsidRDefault="00000000" w:rsidRPr="00000000" w14:paraId="0000002B">
      <w:pPr>
        <w:rPr>
          <w:rFonts w:ascii="IBM Plex Sans" w:cs="IBM Plex Sans" w:eastAsia="IBM Plex Sans" w:hAnsi="IBM Plex Sans"/>
          <w:sz w:val="16"/>
          <w:szCs w:val="16"/>
          <w:highlight w:val="white"/>
        </w:rPr>
      </w:pPr>
      <w:r w:rsidDel="00000000" w:rsidR="00000000" w:rsidRPr="00000000">
        <w:rPr>
          <w:rFonts w:ascii="IBM Plex Sans" w:cs="IBM Plex Sans" w:eastAsia="IBM Plex Sans" w:hAnsi="IBM Plex Sans"/>
          <w:sz w:val="16"/>
          <w:szCs w:val="16"/>
          <w:highlight w:val="white"/>
          <w:rtl w:val="0"/>
        </w:rPr>
        <w:t xml:space="preserve">The contents of this publication were developed under a grant from the U.S. Department of Education, #H326T230030. However, those contents do not necessarily represent the policy of the U.S. Department of Education, and you should not assume endorsement by the Federal Government. Project Officer, Rebecca Sheffield.</w:t>
      </w:r>
    </w:p>
    <w:p w:rsidR="00000000" w:rsidDel="00000000" w:rsidP="00000000" w:rsidRDefault="00000000" w:rsidRPr="00000000" w14:paraId="0000002C">
      <w:pPr>
        <w:spacing w:after="120" w:before="120" w:lineRule="auto"/>
        <w:jc w:val="center"/>
        <w:rPr/>
      </w:pPr>
      <w:r w:rsidDel="00000000" w:rsidR="00000000" w:rsidRPr="00000000">
        <w:rPr>
          <w:rFonts w:ascii="IBM Plex Sans" w:cs="IBM Plex Sans" w:eastAsia="IBM Plex Sans" w:hAnsi="IBM Plex Sans"/>
          <w:sz w:val="24"/>
          <w:szCs w:val="24"/>
        </w:rPr>
        <w:drawing>
          <wp:inline distB="0" distT="0" distL="0" distR="0">
            <wp:extent cx="2358037" cy="466059"/>
            <wp:effectExtent b="0" l="0" r="0" t="0"/>
            <wp:docPr descr="NCDB: National Center on Deaf-Blindness&#10;IDEAs that Work: Office of Special Education Programs, U.S. Department of Education" id="926184337" name="image2.jpg"/>
            <a:graphic>
              <a:graphicData uri="http://schemas.openxmlformats.org/drawingml/2006/picture">
                <pic:pic>
                  <pic:nvPicPr>
                    <pic:cNvPr descr="NCDB: National Center on Deaf-Blindness&#10;IDEAs that Work: Office of Special Education Programs, U.S. Department of Education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58037" cy="4660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first"/>
      <w:footerReference r:id="rId12" w:type="even"/>
      <w:pgSz w:h="15840" w:w="12240" w:orient="portrait"/>
      <w:pgMar w:bottom="1440" w:top="1440" w:left="1440" w:right="108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BM Plex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spacing w:line="240" w:lineRule="auto"/>
      <w:rPr/>
    </w:pPr>
    <w:r w:rsidDel="00000000" w:rsidR="00000000" w:rsidRPr="00000000">
      <w:rPr/>
      <w:drawing>
        <wp:inline distB="0" distT="0" distL="0" distR="0">
          <wp:extent cx="1980898" cy="928088"/>
          <wp:effectExtent b="0" l="0" r="0" t="0"/>
          <wp:docPr descr="Teaching Children Who Are Deafblind logo" id="926184338" name="image1.png"/>
          <a:graphic>
            <a:graphicData uri="http://schemas.openxmlformats.org/drawingml/2006/picture">
              <pic:pic>
                <pic:nvPicPr>
                  <pic:cNvPr descr="Teaching Children Who Are Deafblind log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0898" cy="9280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rFonts w:ascii="Montserrat" w:cs="Montserrat" w:eastAsia="Montserrat" w:hAnsi="Montserrat"/>
      <w:b w:val="1"/>
      <w:color w:val="ed5a5a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rFonts w:ascii="Montserrat" w:cs="Montserrat" w:eastAsia="Montserrat" w:hAnsi="Montserrat"/>
      <w:b w:val="1"/>
      <w:color w:val="ed5a5a"/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 w:val="1"/>
    <w:rsid w:val="00EF1748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F1748"/>
  </w:style>
  <w:style w:type="paragraph" w:styleId="Footer">
    <w:name w:val="footer"/>
    <w:basedOn w:val="Normal"/>
    <w:link w:val="FooterChar"/>
    <w:uiPriority w:val="99"/>
    <w:unhideWhenUsed w:val="1"/>
    <w:rsid w:val="00EF1748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F1748"/>
  </w:style>
  <w:style w:type="paragraph" w:styleId="ListParagraph">
    <w:name w:val="List Paragraph"/>
    <w:basedOn w:val="Normal"/>
    <w:uiPriority w:val="34"/>
    <w:qFormat w:val="1"/>
    <w:rsid w:val="00B4149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BMPlexSans-regular.ttf"/><Relationship Id="rId2" Type="http://schemas.openxmlformats.org/officeDocument/2006/relationships/font" Target="fonts/IBMPlexSans-bold.ttf"/><Relationship Id="rId3" Type="http://schemas.openxmlformats.org/officeDocument/2006/relationships/font" Target="fonts/IBMPlexSans-italic.ttf"/><Relationship Id="rId4" Type="http://schemas.openxmlformats.org/officeDocument/2006/relationships/font" Target="fonts/IBMPlexSans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DeMDi3vE6xuc5VFMFN8ATu0pfQ==">CgMxLjAyCGguZ2pkZ3hzMgloLjMwajB6bGwyCWguMWZvYjl0ZTgAciExVHM2VGFLOWRzZ3UxZlVLZndzT0d2OTNabFpmLXhRcVA=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2022-09-07T18:41:00Z</dcterms:created>
</cp:coreProperties>
</file>