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200" w:lin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408087"/>
          <w:rtl w:val="0"/>
        </w:rPr>
        <w:t xml:space="preserve">Module 3: Communicating With Children </w:t>
        <w:br w:type="textWrapping"/>
        <w:t xml:space="preserve">Who Are Deafblind </w:t>
        <w:br w:type="textWrapping"/>
        <w:t xml:space="preserve">Lesson 3 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24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TRUE/FALSE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Symbols allow people to talk about what’s happening close to them as well as about things happening in other places.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Concrete symbols have a clear relationship to their referents.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Children who are deafblind need to first understand the connection between a partial object symbol and its referent before understanding an identical object symbol and its referent.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Choice-making is an excellent strategy when a child understands abstract symbols, but it should not be used with a child who only understands identical object symbols because it can be frustrating.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Devices such as eye gaze technology can enable some children who have physical challenges to answer simple questions but not to make choices.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It is a good idea to choose symbols that represent a child's favorite items and activities.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A diaper (or part of a diaper) is the universal symbol for “I need to go to the bathroom” for nearly all children who are deafblind.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Miniatures should be avoided as symbols.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When supporting a child’s understanding of abstract symbols for difficult concepts, such as “beginning,” “middle,” and “end,” the symbols will need to be incorporated naturally into the child’s conversations and experiences throughout the day.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80" w:before="200" w:lineRule="auto"/>
        <w:ind w:left="720" w:hanging="360"/>
        <w:rPr/>
      </w:pPr>
      <w:r w:rsidDel="00000000" w:rsidR="00000000" w:rsidRPr="00000000">
        <w:rPr>
          <w:rtl w:val="0"/>
        </w:rPr>
        <w:t xml:space="preserve">Using advanced abstract symbols is a higher-level skill that typically takes considerable time to develop. </w:t>
      </w:r>
    </w:p>
    <w:p w:rsidR="00000000" w:rsidDel="00000000" w:rsidP="00000000" w:rsidRDefault="00000000" w:rsidRPr="00000000" w14:paraId="0000000D">
      <w:pPr>
        <w:pStyle w:val="Heading2"/>
        <w:spacing w:before="120" w:lineRule="auto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MULTIPLE CHOICE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Children who are deafblind 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Often use a combination of concrete and abstract symbols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Rarely build a vocabulary solely based on symbols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Cannot use tactile symbols if they are totally blind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Which is the better choice for a symbol of a tree for a child who is learning concrete tactile symbols?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 miniature plastic tree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 piece of tree bark glued to a square of posterboard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 photograph of a tree on a square of posterboard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 line drawing of a leaf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If a child understands abstract symbols, it is a good idea to have them learn symbols for difficult concepts, including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Wait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On and off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Start and finish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All of the above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Calendar systems with symbols can enable a child who is deafblind to know and anticipate what is going to happen but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to 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Understand time-related concepts and vocabulary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Communicate about something that happened in the past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Make decisions about their schedule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None of the above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One strategy to support a child’s move to more advanced abstract symbols is to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Limit their use of tactile object symbols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Start using advanced abstract symbols for concepts rather than for objects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ind w:left="1440" w:hanging="360"/>
        <w:rPr/>
      </w:pPr>
      <w:r w:rsidDel="00000000" w:rsidR="00000000" w:rsidRPr="00000000">
        <w:rPr>
          <w:rtl w:val="0"/>
        </w:rPr>
        <w:t xml:space="preserve">Use universal tertiary symbols as a way to transition to advanced abstract symbols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5"/>
        </w:numPr>
        <w:spacing w:after="720" w:lineRule="auto"/>
        <w:ind w:left="1440" w:hanging="360"/>
        <w:rPr/>
      </w:pPr>
      <w:r w:rsidDel="00000000" w:rsidR="00000000" w:rsidRPr="00000000">
        <w:rPr>
          <w:rtl w:val="0"/>
        </w:rPr>
        <w:t xml:space="preserve">Pair a method of communication a child is very comfortable with a more advanced symbol form</w:t>
      </w:r>
    </w:p>
    <w:p w:rsidR="00000000" w:rsidDel="00000000" w:rsidP="00000000" w:rsidRDefault="00000000" w:rsidRPr="00000000" w14:paraId="0000002B">
      <w:pPr>
        <w:widowControl w:val="0"/>
        <w:spacing w:after="2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IBM Plex Sans" w:cs="IBM Plex Sans" w:eastAsia="IBM Plex Sans" w:hAnsi="IBM Plex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0"/>
          <w:szCs w:val="20"/>
          <w:highlight w:val="white"/>
          <w:rtl w:val="0"/>
        </w:rPr>
        <w:t xml:space="preserve">National Center on Deafblindness, 2024</w:t>
      </w:r>
    </w:p>
    <w:p w:rsidR="00000000" w:rsidDel="00000000" w:rsidP="00000000" w:rsidRDefault="00000000" w:rsidRPr="00000000" w14:paraId="00000031">
      <w:pPr>
        <w:jc w:val="center"/>
        <w:rPr>
          <w:rFonts w:ascii="IBM Plex Sans" w:cs="IBM Plex Sans" w:eastAsia="IBM Plex Sans" w:hAnsi="IBM Plex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b w:val="1"/>
          <w:sz w:val="20"/>
          <w:szCs w:val="20"/>
          <w:highlight w:val="white"/>
          <w:rtl w:val="0"/>
        </w:rPr>
        <w:t xml:space="preserve">nationaldb.org</w:t>
      </w:r>
    </w:p>
    <w:p w:rsidR="00000000" w:rsidDel="00000000" w:rsidP="00000000" w:rsidRDefault="00000000" w:rsidRPr="00000000" w14:paraId="00000032">
      <w:pPr>
        <w:rPr>
          <w:rFonts w:ascii="IBM Plex Sans" w:cs="IBM Plex Sans" w:eastAsia="IBM Plex Sans" w:hAnsi="IBM Plex Sans"/>
          <w:sz w:val="16"/>
          <w:szCs w:val="16"/>
          <w:highlight w:val="white"/>
        </w:rPr>
      </w:pPr>
      <w:r w:rsidDel="00000000" w:rsidR="00000000" w:rsidRPr="00000000">
        <w:rPr>
          <w:rFonts w:ascii="IBM Plex Sans" w:cs="IBM Plex Sans" w:eastAsia="IBM Plex Sans" w:hAnsi="IBM Plex Sans"/>
          <w:sz w:val="16"/>
          <w:szCs w:val="16"/>
          <w:highlight w:val="white"/>
          <w:rtl w:val="0"/>
        </w:rPr>
        <w:t xml:space="preserve">The contents of this publication were developed under a grant from the U.S. Department of Education, #H326T230030. However, those contents do not necessarily represent the policy of the U.S. Department of Education, and you should not assume endorsement by the Federal Government. Project Officer, Rebecca Sheffield.</w:t>
      </w:r>
    </w:p>
    <w:p w:rsidR="00000000" w:rsidDel="00000000" w:rsidP="00000000" w:rsidRDefault="00000000" w:rsidRPr="00000000" w14:paraId="00000033">
      <w:pPr>
        <w:spacing w:after="120" w:before="120" w:lineRule="auto"/>
        <w:jc w:val="center"/>
        <w:rPr/>
      </w:pPr>
      <w:r w:rsidDel="00000000" w:rsidR="00000000" w:rsidRPr="00000000">
        <w:rPr>
          <w:rFonts w:ascii="IBM Plex Sans" w:cs="IBM Plex Sans" w:eastAsia="IBM Plex Sans" w:hAnsi="IBM Plex Sans"/>
          <w:sz w:val="24"/>
          <w:szCs w:val="24"/>
        </w:rPr>
        <w:drawing>
          <wp:inline distB="0" distT="0" distL="0" distR="0">
            <wp:extent cx="2358037" cy="466059"/>
            <wp:effectExtent b="0" l="0" r="0" t="0"/>
            <wp:docPr descr="NCDB: National Center on Deaf-Blindness&#10;IDEAs that Work: Office of Special Education Programs, U.S. Department of Education" id="926184337" name="image1.jpg"/>
            <a:graphic>
              <a:graphicData uri="http://schemas.openxmlformats.org/drawingml/2006/picture">
                <pic:pic>
                  <pic:nvPicPr>
                    <pic:cNvPr descr="NCDB: National Center on Deaf-Blindness&#10;IDEAs that Work: Office of Special Education Programs, U.S. Department of Educatio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466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first"/>
      <w:footerReference r:id="rId12" w:type="even"/>
      <w:pgSz w:h="15840" w:w="12240" w:orient="portrait"/>
      <w:pgMar w:bottom="1440" w:top="1440" w:left="1440" w:right="108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line="240" w:lineRule="auto"/>
      <w:rPr/>
    </w:pPr>
    <w:r w:rsidDel="00000000" w:rsidR="00000000" w:rsidRPr="00000000">
      <w:rPr/>
      <w:drawing>
        <wp:inline distB="0" distT="0" distL="0" distR="0">
          <wp:extent cx="1980898" cy="928088"/>
          <wp:effectExtent b="0" l="0" r="0" t="0"/>
          <wp:docPr descr="Teaching Children Who Are Deafblind logo" id="926184338" name="image2.png"/>
          <a:graphic>
            <a:graphicData uri="http://schemas.openxmlformats.org/drawingml/2006/picture">
              <pic:pic>
                <pic:nvPicPr>
                  <pic:cNvPr descr="Teaching Children Who Are Deafblind 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0898" cy="928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rFonts w:ascii="Montserrat" w:cs="Montserrat" w:eastAsia="Montserrat" w:hAnsi="Montserrat"/>
      <w:b w:val="1"/>
      <w:color w:val="ed5a5a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1748"/>
  </w:style>
  <w:style w:type="paragraph" w:styleId="Footer">
    <w:name w:val="footer"/>
    <w:basedOn w:val="Normal"/>
    <w:link w:val="FooterChar"/>
    <w:uiPriority w:val="99"/>
    <w:unhideWhenUsed w:val="1"/>
    <w:rsid w:val="00EF174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1748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-regular.ttf"/><Relationship Id="rId2" Type="http://schemas.openxmlformats.org/officeDocument/2006/relationships/font" Target="fonts/IBMPlexSans-bold.ttf"/><Relationship Id="rId3" Type="http://schemas.openxmlformats.org/officeDocument/2006/relationships/font" Target="fonts/IBMPlexSans-italic.ttf"/><Relationship Id="rId4" Type="http://schemas.openxmlformats.org/officeDocument/2006/relationships/font" Target="fonts/IBMPlexSans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4Vvh51/9VBN7G50OAHA8Talhlw==">CgMxLjAyCGguZ2pkZ3hzMgloLjMwajB6bGwyCWguMWZvYjl0ZTgAciExLTJpYUlSdHJvMzUtMnFfSUlFZUNXRDJXdmFjcDJ4MHA=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2022-09-07T18:41:00Z</dcterms:created>
</cp:coreProperties>
</file>